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366" w:rsidRPr="00521366" w:rsidRDefault="00521366" w:rsidP="0052136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521366">
        <w:rPr>
          <w:rFonts w:ascii="Calibri" w:eastAsia="Times New Roman" w:hAnsi="Calibri" w:cs="Times New Roman"/>
          <w:b/>
          <w:bCs/>
          <w:color w:val="000000"/>
          <w:sz w:val="24"/>
          <w:szCs w:val="24"/>
        </w:rPr>
        <w:t xml:space="preserve">A Resolution Directing Washtenaw County Staff </w:t>
      </w:r>
      <w:proofErr w:type="gramStart"/>
      <w:r w:rsidRPr="00521366">
        <w:rPr>
          <w:rFonts w:ascii="Calibri" w:eastAsia="Times New Roman" w:hAnsi="Calibri" w:cs="Times New Roman"/>
          <w:b/>
          <w:bCs/>
          <w:color w:val="000000"/>
          <w:sz w:val="24"/>
          <w:szCs w:val="24"/>
        </w:rPr>
        <w:t>To</w:t>
      </w:r>
      <w:proofErr w:type="gramEnd"/>
      <w:r w:rsidRPr="00521366">
        <w:rPr>
          <w:rFonts w:ascii="Calibri" w:eastAsia="Times New Roman" w:hAnsi="Calibri" w:cs="Times New Roman"/>
          <w:b/>
          <w:bCs/>
          <w:color w:val="000000"/>
          <w:sz w:val="24"/>
          <w:szCs w:val="24"/>
        </w:rPr>
        <w:t xml:space="preserve"> Engage In Possible Transit Agreement Discussion Between Washtenaw County, Wayne County, the City of Detroit, And Other Related Public Entities</w:t>
      </w:r>
    </w:p>
    <w:p w:rsidR="00521366" w:rsidRPr="00521366" w:rsidRDefault="00521366" w:rsidP="00521366">
      <w:pPr>
        <w:spacing w:before="100" w:beforeAutospacing="1" w:after="100" w:afterAutospacing="1" w:line="240" w:lineRule="auto"/>
        <w:jc w:val="center"/>
        <w:rPr>
          <w:rFonts w:ascii="Calibri" w:eastAsia="Times New Roman" w:hAnsi="Calibri" w:cs="Times New Roman"/>
          <w:b/>
          <w:sz w:val="24"/>
          <w:szCs w:val="24"/>
        </w:rPr>
      </w:pPr>
      <w:r w:rsidRPr="00521366">
        <w:rPr>
          <w:rFonts w:ascii="Calibri" w:eastAsia="Times New Roman" w:hAnsi="Calibri" w:cs="Times New Roman"/>
          <w:b/>
          <w:sz w:val="24"/>
          <w:szCs w:val="24"/>
        </w:rPr>
        <w:t>Washtenaw County Board of Commissioners</w:t>
      </w:r>
    </w:p>
    <w:p w:rsidR="00521366" w:rsidRPr="00521366" w:rsidRDefault="00521366" w:rsidP="00521366">
      <w:pPr>
        <w:spacing w:before="100" w:beforeAutospacing="1" w:after="100" w:afterAutospacing="1" w:line="240" w:lineRule="auto"/>
        <w:jc w:val="center"/>
        <w:rPr>
          <w:rFonts w:ascii="Calibri" w:eastAsia="Times New Roman" w:hAnsi="Calibri" w:cs="Times New Roman"/>
          <w:b/>
          <w:color w:val="000000"/>
          <w:sz w:val="24"/>
          <w:szCs w:val="24"/>
        </w:rPr>
      </w:pPr>
      <w:r w:rsidRPr="00521366">
        <w:rPr>
          <w:rFonts w:ascii="Calibri" w:eastAsia="Times New Roman" w:hAnsi="Calibri" w:cs="Times New Roman"/>
          <w:b/>
          <w:color w:val="000000"/>
          <w:sz w:val="24"/>
          <w:szCs w:val="24"/>
        </w:rPr>
        <w:t>February 15, 2018  </w:t>
      </w:r>
    </w:p>
    <w:p w:rsidR="00521366" w:rsidRPr="00521366" w:rsidRDefault="00521366" w:rsidP="00521366">
      <w:pPr>
        <w:spacing w:before="278" w:after="0" w:line="295" w:lineRule="exact"/>
        <w:ind w:right="216"/>
        <w:textAlignment w:val="baseline"/>
        <w:rPr>
          <w:rFonts w:ascii="Tahoma" w:eastAsia="Tahoma" w:hAnsi="Tahoma" w:cs="Times New Roman"/>
          <w:color w:val="000000"/>
          <w:spacing w:val="8"/>
          <w:sz w:val="20"/>
        </w:rPr>
      </w:pPr>
      <w:r w:rsidRPr="00521366">
        <w:rPr>
          <w:rFonts w:ascii="Tahoma" w:eastAsia="Tahoma" w:hAnsi="Tahoma" w:cs="Times New Roman"/>
          <w:color w:val="000000"/>
          <w:spacing w:val="8"/>
          <w:sz w:val="20"/>
        </w:rPr>
        <w:t>WHEREAS, the Regional Transit Authority of Southeast Michigan (RTA) is an intergovernmental partnership, created by Public Act No. 387 of 2012, among the City of Detroit and Macomb, Oakland, Washtenaw and Wayne counties; and</w:t>
      </w:r>
    </w:p>
    <w:p w:rsidR="00521366" w:rsidRPr="00521366" w:rsidRDefault="00521366" w:rsidP="00521366">
      <w:pPr>
        <w:spacing w:before="282" w:after="0" w:line="295" w:lineRule="exact"/>
        <w:ind w:right="288"/>
        <w:textAlignment w:val="baseline"/>
        <w:rPr>
          <w:rFonts w:ascii="Tahoma" w:eastAsia="Tahoma" w:hAnsi="Tahoma" w:cs="Times New Roman"/>
          <w:color w:val="000000"/>
          <w:sz w:val="20"/>
        </w:rPr>
      </w:pPr>
      <w:r w:rsidRPr="00521366">
        <w:rPr>
          <w:rFonts w:ascii="Tahoma" w:eastAsia="Tahoma" w:hAnsi="Tahoma" w:cs="Times New Roman"/>
          <w:color w:val="000000"/>
          <w:sz w:val="20"/>
        </w:rPr>
        <w:t>WHEREAS, the RTA's mission is to manage and secure transportation resources that significantly enhance mobility options, to improve quality of life for the residents and to increase economic viability for the region; and</w:t>
      </w:r>
    </w:p>
    <w:p w:rsidR="00521366" w:rsidRPr="00521366" w:rsidRDefault="00521366" w:rsidP="00521366">
      <w:pPr>
        <w:spacing w:before="280" w:after="0" w:line="291" w:lineRule="exact"/>
        <w:ind w:right="864"/>
        <w:textAlignment w:val="baseline"/>
        <w:rPr>
          <w:rFonts w:ascii="Tahoma" w:eastAsia="Tahoma" w:hAnsi="Tahoma" w:cs="Times New Roman"/>
          <w:color w:val="000000"/>
          <w:sz w:val="20"/>
        </w:rPr>
      </w:pPr>
      <w:r w:rsidRPr="00521366">
        <w:rPr>
          <w:rFonts w:ascii="Tahoma" w:eastAsia="Tahoma" w:hAnsi="Tahoma" w:cs="Times New Roman"/>
          <w:color w:val="000000"/>
          <w:sz w:val="20"/>
        </w:rPr>
        <w:t>WHEREAS, an RTA ballot proposal went before voters in the member entities on November 8, 2016; and</w:t>
      </w:r>
    </w:p>
    <w:p w:rsidR="00521366" w:rsidRPr="00521366" w:rsidRDefault="00521366" w:rsidP="00521366">
      <w:pPr>
        <w:spacing w:before="297" w:after="0" w:line="288" w:lineRule="exact"/>
        <w:ind w:right="288"/>
        <w:textAlignment w:val="baseline"/>
        <w:rPr>
          <w:rFonts w:ascii="Tahoma" w:eastAsia="Tahoma" w:hAnsi="Tahoma" w:cs="Times New Roman"/>
          <w:color w:val="000000"/>
          <w:sz w:val="20"/>
        </w:rPr>
      </w:pPr>
      <w:r w:rsidRPr="00521366">
        <w:rPr>
          <w:rFonts w:ascii="Tahoma" w:eastAsia="Tahoma" w:hAnsi="Tahoma" w:cs="Times New Roman"/>
          <w:color w:val="000000"/>
          <w:sz w:val="20"/>
        </w:rPr>
        <w:t>WHEREAS, Washtenaw County voters approved the RTA ballot issue with over 56% of the vote, but the initiative narrowly lost in the combined jurisdiction; and</w:t>
      </w:r>
    </w:p>
    <w:p w:rsidR="00521366" w:rsidRPr="00521366" w:rsidRDefault="00521366" w:rsidP="00521366">
      <w:pPr>
        <w:spacing w:before="277" w:after="0" w:line="295" w:lineRule="exact"/>
        <w:ind w:right="216"/>
        <w:textAlignment w:val="baseline"/>
        <w:rPr>
          <w:rFonts w:ascii="Tahoma" w:eastAsia="Tahoma" w:hAnsi="Tahoma" w:cs="Times New Roman"/>
          <w:color w:val="000000"/>
          <w:spacing w:val="7"/>
          <w:sz w:val="20"/>
        </w:rPr>
      </w:pPr>
      <w:r w:rsidRPr="00521366">
        <w:rPr>
          <w:rFonts w:ascii="Tahoma" w:eastAsia="Tahoma" w:hAnsi="Tahoma" w:cs="Times New Roman"/>
          <w:color w:val="000000"/>
          <w:spacing w:val="7"/>
          <w:sz w:val="20"/>
        </w:rPr>
        <w:t>WHEREAS, since August 2, 2017, the Washtenaw County Board of Commissioners have authorized the Chair of the Board to negotiate provisions related to the future implementation of the RTA with the region's chief elected officials, provided that those decisions are supported by at least one of the County's appointees to the RTA board; and</w:t>
      </w:r>
    </w:p>
    <w:p w:rsidR="00521366" w:rsidRPr="00521366" w:rsidRDefault="00521366" w:rsidP="00521366">
      <w:pPr>
        <w:spacing w:before="292" w:after="0" w:line="292" w:lineRule="exact"/>
        <w:ind w:right="288"/>
        <w:textAlignment w:val="baseline"/>
        <w:rPr>
          <w:rFonts w:ascii="Tahoma" w:eastAsia="Tahoma" w:hAnsi="Tahoma" w:cs="Times New Roman"/>
          <w:color w:val="000000"/>
          <w:sz w:val="20"/>
        </w:rPr>
      </w:pPr>
      <w:r w:rsidRPr="00521366">
        <w:rPr>
          <w:rFonts w:ascii="Tahoma" w:eastAsia="Tahoma" w:hAnsi="Tahoma" w:cs="Times New Roman"/>
          <w:color w:val="000000"/>
          <w:sz w:val="20"/>
        </w:rPr>
        <w:t>WHEREAS, there is a possibility, but not a certainty, that another RTA proposal will be put before voters on November 6, 2018; and</w:t>
      </w:r>
    </w:p>
    <w:p w:rsidR="00521366" w:rsidRPr="00521366" w:rsidRDefault="00521366" w:rsidP="00521366">
      <w:pPr>
        <w:spacing w:before="268" w:after="0" w:line="296" w:lineRule="exact"/>
        <w:ind w:right="576"/>
        <w:textAlignment w:val="baseline"/>
        <w:rPr>
          <w:rFonts w:ascii="Tahoma" w:eastAsia="Tahoma" w:hAnsi="Tahoma" w:cs="Times New Roman"/>
          <w:color w:val="000000"/>
          <w:spacing w:val="8"/>
          <w:sz w:val="20"/>
        </w:rPr>
      </w:pPr>
      <w:r w:rsidRPr="00521366">
        <w:rPr>
          <w:rFonts w:ascii="Tahoma" w:eastAsia="Tahoma" w:hAnsi="Tahoma" w:cs="Times New Roman"/>
          <w:color w:val="000000"/>
          <w:spacing w:val="8"/>
          <w:sz w:val="20"/>
        </w:rPr>
        <w:t>WHEREAS, there is no certainty a RTA ballot proposal will go before voters in 2018; and</w:t>
      </w:r>
    </w:p>
    <w:p w:rsidR="00521366" w:rsidRPr="00521366" w:rsidRDefault="00521366" w:rsidP="00521366">
      <w:pPr>
        <w:spacing w:before="284" w:after="0" w:line="293" w:lineRule="exact"/>
        <w:ind w:right="504"/>
        <w:textAlignment w:val="baseline"/>
        <w:rPr>
          <w:rFonts w:ascii="Tahoma" w:eastAsia="Tahoma" w:hAnsi="Tahoma" w:cs="Times New Roman"/>
          <w:color w:val="000000"/>
          <w:sz w:val="20"/>
        </w:rPr>
      </w:pPr>
      <w:r w:rsidRPr="00521366">
        <w:rPr>
          <w:rFonts w:ascii="Tahoma" w:eastAsia="Tahoma" w:hAnsi="Tahoma" w:cs="Times New Roman"/>
          <w:color w:val="000000"/>
          <w:sz w:val="20"/>
        </w:rPr>
        <w:t>WHEREAS, greater access to adequate and coordinated public transportation would significantly benefit the people, communities, businesses and organizations of Washtenaw County; and</w:t>
      </w:r>
    </w:p>
    <w:p w:rsidR="00521366" w:rsidRPr="00521366" w:rsidRDefault="00521366" w:rsidP="00521366">
      <w:pPr>
        <w:spacing w:before="327" w:after="0" w:line="249" w:lineRule="exact"/>
        <w:textAlignment w:val="baseline"/>
        <w:rPr>
          <w:rFonts w:ascii="Tahoma" w:eastAsia="Tahoma" w:hAnsi="Tahoma" w:cs="Times New Roman"/>
          <w:color w:val="000000"/>
          <w:spacing w:val="7"/>
          <w:sz w:val="20"/>
        </w:rPr>
      </w:pPr>
      <w:r w:rsidRPr="00521366">
        <w:rPr>
          <w:rFonts w:ascii="Tahoma" w:eastAsia="Tahoma" w:hAnsi="Tahoma" w:cs="Times New Roman"/>
          <w:color w:val="000000"/>
          <w:spacing w:val="7"/>
          <w:sz w:val="20"/>
        </w:rPr>
        <w:t>NOW THEREFOR BE IT RESOLVED, that the Washtenaw County Board of</w:t>
      </w:r>
    </w:p>
    <w:p w:rsidR="00521366" w:rsidRPr="00521366" w:rsidRDefault="00521366" w:rsidP="00521366">
      <w:pPr>
        <w:spacing w:before="7" w:after="0" w:line="293" w:lineRule="exact"/>
        <w:ind w:right="504"/>
        <w:textAlignment w:val="baseline"/>
        <w:rPr>
          <w:rFonts w:ascii="Tahoma" w:eastAsia="Tahoma" w:hAnsi="Tahoma" w:cs="Times New Roman"/>
          <w:color w:val="000000"/>
          <w:spacing w:val="8"/>
          <w:sz w:val="20"/>
        </w:rPr>
      </w:pPr>
      <w:r w:rsidRPr="00521366">
        <w:rPr>
          <w:rFonts w:ascii="Tahoma" w:eastAsia="Tahoma" w:hAnsi="Tahoma" w:cs="Times New Roman"/>
          <w:color w:val="000000"/>
          <w:spacing w:val="8"/>
          <w:sz w:val="20"/>
        </w:rPr>
        <w:t xml:space="preserve">Commissioners hereby directs </w:t>
      </w:r>
      <w:r>
        <w:rPr>
          <w:rFonts w:ascii="Tahoma" w:eastAsia="Tahoma" w:hAnsi="Tahoma" w:cs="Times New Roman"/>
          <w:color w:val="000000"/>
          <w:spacing w:val="8"/>
          <w:sz w:val="20"/>
        </w:rPr>
        <w:t>the County Administrator</w:t>
      </w:r>
      <w:r w:rsidRPr="00521366">
        <w:rPr>
          <w:rFonts w:ascii="Tahoma" w:eastAsia="Tahoma" w:hAnsi="Tahoma" w:cs="Times New Roman"/>
          <w:color w:val="000000"/>
          <w:spacing w:val="8"/>
          <w:sz w:val="20"/>
        </w:rPr>
        <w:t xml:space="preserve"> to appropriately engage in discussions about a possible transit agreement between Washtenaw County, Wayne County, the City of Detroit, and other related public entities; and</w:t>
      </w:r>
    </w:p>
    <w:p w:rsidR="00521366" w:rsidRDefault="00521366" w:rsidP="00521366">
      <w:pPr>
        <w:spacing w:before="278" w:after="0" w:line="293" w:lineRule="exact"/>
        <w:ind w:right="432"/>
        <w:textAlignment w:val="baseline"/>
        <w:rPr>
          <w:rFonts w:ascii="Tahoma" w:eastAsia="Tahoma" w:hAnsi="Tahoma" w:cs="Times New Roman"/>
          <w:color w:val="000000"/>
          <w:sz w:val="20"/>
        </w:rPr>
      </w:pPr>
      <w:r w:rsidRPr="00521366">
        <w:rPr>
          <w:rFonts w:ascii="Tahoma" w:eastAsia="Tahoma" w:hAnsi="Tahoma" w:cs="Times New Roman"/>
          <w:color w:val="000000"/>
          <w:sz w:val="20"/>
        </w:rPr>
        <w:t>BE IT FURTHER RESOLVED, the Board requests staff to provide progress updates at all reg</w:t>
      </w:r>
      <w:r w:rsidR="002D2017">
        <w:rPr>
          <w:rFonts w:ascii="Tahoma" w:eastAsia="Tahoma" w:hAnsi="Tahoma" w:cs="Times New Roman"/>
          <w:color w:val="000000"/>
          <w:sz w:val="20"/>
        </w:rPr>
        <w:t>ularly scheduled Board meetings with the goal of providing a full report of options at the June, 2018 Board of Commissioners meeting;</w:t>
      </w:r>
      <w:bookmarkStart w:id="0" w:name="_GoBack"/>
      <w:bookmarkEnd w:id="0"/>
      <w:r>
        <w:rPr>
          <w:rFonts w:ascii="Tahoma" w:eastAsia="Tahoma" w:hAnsi="Tahoma" w:cs="Times New Roman"/>
          <w:color w:val="000000"/>
          <w:sz w:val="20"/>
        </w:rPr>
        <w:t xml:space="preserve"> and</w:t>
      </w:r>
    </w:p>
    <w:p w:rsidR="00521366" w:rsidRPr="00521366" w:rsidRDefault="00521366" w:rsidP="00521366">
      <w:pPr>
        <w:spacing w:before="278" w:after="0" w:line="293" w:lineRule="exact"/>
        <w:ind w:right="432"/>
        <w:textAlignment w:val="baseline"/>
        <w:rPr>
          <w:rFonts w:ascii="Tahoma" w:eastAsia="Tahoma" w:hAnsi="Tahoma" w:cs="Times New Roman"/>
          <w:color w:val="000000"/>
          <w:sz w:val="20"/>
        </w:rPr>
      </w:pPr>
      <w:r w:rsidRPr="00521366">
        <w:rPr>
          <w:rFonts w:ascii="Tahoma" w:eastAsia="Tahoma" w:hAnsi="Tahoma" w:cs="Times New Roman"/>
          <w:color w:val="000000"/>
          <w:sz w:val="20"/>
        </w:rPr>
        <w:lastRenderedPageBreak/>
        <w:t xml:space="preserve">BE IT FURTHER RESOLVED, the Board directs the County Administrator to explore all possible options and to present the pros and cons of the alternative options for bus, rail, and other considerations, </w:t>
      </w:r>
      <w:r>
        <w:rPr>
          <w:rFonts w:ascii="Tahoma" w:eastAsia="Tahoma" w:hAnsi="Tahoma" w:cs="Times New Roman"/>
          <w:color w:val="000000"/>
          <w:sz w:val="20"/>
        </w:rPr>
        <w:t xml:space="preserve">and carbon impact, </w:t>
      </w:r>
      <w:r w:rsidRPr="00521366">
        <w:rPr>
          <w:rFonts w:ascii="Tahoma" w:eastAsia="Tahoma" w:hAnsi="Tahoma" w:cs="Times New Roman"/>
          <w:color w:val="000000"/>
          <w:sz w:val="20"/>
        </w:rPr>
        <w:t>as well as the cost to the County of researching and developing options, and to solicit direction from the Board as discussions are ongoing.</w:t>
      </w:r>
    </w:p>
    <w:p w:rsidR="00521366" w:rsidRDefault="00521366"/>
    <w:p w:rsidR="00521366" w:rsidRDefault="00521366"/>
    <w:p w:rsidR="00521366" w:rsidRDefault="00521366"/>
    <w:p w:rsidR="00521366" w:rsidRDefault="00521366"/>
    <w:p w:rsidR="00521366" w:rsidRDefault="00521366"/>
    <w:p w:rsidR="00521366" w:rsidRDefault="00521366"/>
    <w:p w:rsidR="00521366" w:rsidRDefault="00521366"/>
    <w:p w:rsidR="00521366" w:rsidRDefault="00521366"/>
    <w:p w:rsidR="00521366" w:rsidRDefault="00521366"/>
    <w:p w:rsidR="00521366" w:rsidRDefault="00521366"/>
    <w:tbl>
      <w:tblPr>
        <w:tblW w:w="99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1911"/>
        <w:gridCol w:w="462"/>
        <w:gridCol w:w="495"/>
        <w:gridCol w:w="464"/>
        <w:gridCol w:w="1913"/>
        <w:gridCol w:w="464"/>
        <w:gridCol w:w="495"/>
        <w:gridCol w:w="464"/>
        <w:gridCol w:w="1913"/>
        <w:gridCol w:w="464"/>
        <w:gridCol w:w="495"/>
        <w:gridCol w:w="450"/>
      </w:tblGrid>
      <w:tr w:rsidR="00521366" w:rsidRPr="00521366" w:rsidTr="00F87C1E">
        <w:tc>
          <w:tcPr>
            <w:tcW w:w="1911" w:type="dxa"/>
            <w:tcBorders>
              <w:top w:val="single" w:sz="12" w:space="0" w:color="000000"/>
              <w:left w:val="single" w:sz="12"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ind w:left="-810" w:firstLine="810"/>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COMMISSIONER</w:t>
            </w:r>
          </w:p>
        </w:tc>
        <w:tc>
          <w:tcPr>
            <w:tcW w:w="462" w:type="dxa"/>
            <w:tcBorders>
              <w:top w:val="single" w:sz="12"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Y</w:t>
            </w:r>
          </w:p>
        </w:tc>
        <w:tc>
          <w:tcPr>
            <w:tcW w:w="495" w:type="dxa"/>
            <w:tcBorders>
              <w:top w:val="single" w:sz="12"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N</w:t>
            </w:r>
          </w:p>
        </w:tc>
        <w:tc>
          <w:tcPr>
            <w:tcW w:w="464" w:type="dxa"/>
            <w:tcBorders>
              <w:top w:val="single" w:sz="12"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A</w:t>
            </w:r>
          </w:p>
        </w:tc>
        <w:tc>
          <w:tcPr>
            <w:tcW w:w="1913" w:type="dxa"/>
            <w:tcBorders>
              <w:top w:val="single" w:sz="12"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COMMISSIONER</w:t>
            </w:r>
          </w:p>
        </w:tc>
        <w:tc>
          <w:tcPr>
            <w:tcW w:w="464" w:type="dxa"/>
            <w:tcBorders>
              <w:top w:val="single" w:sz="12"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Y</w:t>
            </w:r>
          </w:p>
        </w:tc>
        <w:tc>
          <w:tcPr>
            <w:tcW w:w="495" w:type="dxa"/>
            <w:tcBorders>
              <w:top w:val="single" w:sz="12"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N</w:t>
            </w:r>
          </w:p>
        </w:tc>
        <w:tc>
          <w:tcPr>
            <w:tcW w:w="464" w:type="dxa"/>
            <w:tcBorders>
              <w:top w:val="single" w:sz="12"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A</w:t>
            </w:r>
          </w:p>
        </w:tc>
        <w:tc>
          <w:tcPr>
            <w:tcW w:w="1913" w:type="dxa"/>
            <w:tcBorders>
              <w:top w:val="single" w:sz="12"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COMMISSIONER</w:t>
            </w:r>
          </w:p>
        </w:tc>
        <w:tc>
          <w:tcPr>
            <w:tcW w:w="464" w:type="dxa"/>
            <w:tcBorders>
              <w:top w:val="single" w:sz="12"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Y</w:t>
            </w:r>
          </w:p>
        </w:tc>
        <w:tc>
          <w:tcPr>
            <w:tcW w:w="495" w:type="dxa"/>
            <w:tcBorders>
              <w:top w:val="single" w:sz="12"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N</w:t>
            </w:r>
          </w:p>
        </w:tc>
        <w:tc>
          <w:tcPr>
            <w:tcW w:w="450" w:type="dxa"/>
            <w:tcBorders>
              <w:top w:val="single" w:sz="12" w:space="0" w:color="000000"/>
              <w:left w:val="single" w:sz="6" w:space="0" w:color="000000"/>
              <w:bottom w:val="single" w:sz="12" w:space="0" w:color="000000"/>
              <w:right w:val="single" w:sz="12"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A</w:t>
            </w:r>
          </w:p>
        </w:tc>
      </w:tr>
      <w:tr w:rsidR="00521366" w:rsidRPr="00521366" w:rsidTr="00F87C1E">
        <w:tc>
          <w:tcPr>
            <w:tcW w:w="1911" w:type="dxa"/>
            <w:tcBorders>
              <w:top w:val="nil"/>
              <w:left w:val="single" w:sz="12" w:space="0" w:color="000000"/>
              <w:bottom w:val="single" w:sz="6"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ind w:left="-810" w:firstLine="810"/>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Brabec</w:t>
            </w:r>
          </w:p>
        </w:tc>
        <w:tc>
          <w:tcPr>
            <w:tcW w:w="462" w:type="dxa"/>
            <w:tcBorders>
              <w:top w:val="nil"/>
              <w:left w:val="single" w:sz="6" w:space="0" w:color="000000"/>
              <w:bottom w:val="single" w:sz="6" w:space="0" w:color="000000"/>
              <w:right w:val="single" w:sz="6" w:space="0" w:color="000000"/>
            </w:tcBorders>
            <w:hideMark/>
          </w:tcPr>
          <w:p w:rsidR="00521366" w:rsidRPr="00521366" w:rsidRDefault="00521366" w:rsidP="00521366">
            <w:pPr>
              <w:spacing w:after="0" w:line="276" w:lineRule="auto"/>
              <w:rPr>
                <w:rFonts w:ascii="Calibri" w:eastAsia="Times New Roman" w:hAnsi="Calibri" w:cs="Times New Roman"/>
              </w:rPr>
            </w:pPr>
          </w:p>
        </w:tc>
        <w:tc>
          <w:tcPr>
            <w:tcW w:w="495" w:type="dxa"/>
            <w:tcBorders>
              <w:top w:val="nil"/>
              <w:left w:val="single" w:sz="6" w:space="0" w:color="000000"/>
              <w:bottom w:val="single" w:sz="6"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p>
        </w:tc>
        <w:tc>
          <w:tcPr>
            <w:tcW w:w="464" w:type="dxa"/>
            <w:tcBorders>
              <w:top w:val="nil"/>
              <w:left w:val="single" w:sz="6" w:space="0" w:color="000000"/>
              <w:bottom w:val="single" w:sz="6" w:space="0" w:color="000000"/>
              <w:right w:val="single" w:sz="6" w:space="0" w:color="000000"/>
            </w:tcBorders>
            <w:hideMark/>
          </w:tcPr>
          <w:p w:rsidR="00521366" w:rsidRPr="00521366" w:rsidRDefault="00025EF8" w:rsidP="00521366">
            <w:pPr>
              <w:spacing w:after="0" w:line="240"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rPr>
              <w:t>X</w:t>
            </w:r>
          </w:p>
        </w:tc>
        <w:tc>
          <w:tcPr>
            <w:tcW w:w="1913" w:type="dxa"/>
            <w:tcBorders>
              <w:top w:val="nil"/>
              <w:left w:val="single" w:sz="6" w:space="0" w:color="000000"/>
              <w:bottom w:val="single" w:sz="6"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LaBarre</w:t>
            </w:r>
          </w:p>
        </w:tc>
        <w:tc>
          <w:tcPr>
            <w:tcW w:w="464" w:type="dxa"/>
            <w:tcBorders>
              <w:top w:val="nil"/>
              <w:left w:val="single" w:sz="6" w:space="0" w:color="000000"/>
              <w:bottom w:val="single" w:sz="6" w:space="0" w:color="000000"/>
              <w:right w:val="single" w:sz="6" w:space="0" w:color="000000"/>
            </w:tcBorders>
            <w:hideMark/>
          </w:tcPr>
          <w:p w:rsidR="00521366" w:rsidRPr="00521366" w:rsidRDefault="00521366" w:rsidP="00521366">
            <w:pPr>
              <w:spacing w:after="0" w:line="276" w:lineRule="auto"/>
              <w:rPr>
                <w:rFonts w:ascii="Calibri" w:eastAsia="Times New Roman" w:hAnsi="Calibri" w:cs="Times New Roman"/>
              </w:rPr>
            </w:pPr>
            <w:r w:rsidRPr="00521366">
              <w:rPr>
                <w:rFonts w:ascii="Times New Roman" w:eastAsia="Times New Roman" w:hAnsi="Times New Roman" w:cs="Times New Roman"/>
                <w:sz w:val="18"/>
              </w:rPr>
              <w:t>X</w:t>
            </w:r>
          </w:p>
        </w:tc>
        <w:tc>
          <w:tcPr>
            <w:tcW w:w="495" w:type="dxa"/>
            <w:tcBorders>
              <w:top w:val="nil"/>
              <w:left w:val="single" w:sz="6" w:space="0" w:color="000000"/>
              <w:bottom w:val="single" w:sz="6" w:space="0" w:color="000000"/>
              <w:right w:val="single" w:sz="6" w:space="0" w:color="000000"/>
            </w:tcBorders>
          </w:tcPr>
          <w:p w:rsidR="00521366" w:rsidRPr="00521366" w:rsidRDefault="00521366" w:rsidP="00521366">
            <w:pPr>
              <w:autoSpaceDN w:val="0"/>
              <w:spacing w:after="0" w:line="276" w:lineRule="auto"/>
              <w:rPr>
                <w:rFonts w:ascii="Calibri" w:eastAsia="Times New Roman" w:hAnsi="Calibri" w:cs="Times New Roman"/>
              </w:rPr>
            </w:pPr>
          </w:p>
        </w:tc>
        <w:tc>
          <w:tcPr>
            <w:tcW w:w="464" w:type="dxa"/>
            <w:tcBorders>
              <w:top w:val="nil"/>
              <w:left w:val="single" w:sz="6" w:space="0" w:color="000000"/>
              <w:bottom w:val="single" w:sz="6" w:space="0" w:color="000000"/>
              <w:right w:val="single" w:sz="6" w:space="0" w:color="000000"/>
            </w:tcBorders>
            <w:hideMark/>
          </w:tcPr>
          <w:p w:rsidR="00521366" w:rsidRPr="00521366" w:rsidRDefault="00521366" w:rsidP="00521366">
            <w:pPr>
              <w:spacing w:after="0" w:line="240" w:lineRule="auto"/>
              <w:rPr>
                <w:rFonts w:ascii="Calibri" w:eastAsia="Times New Roman" w:hAnsi="Calibri" w:cs="Times New Roman"/>
              </w:rPr>
            </w:pPr>
          </w:p>
        </w:tc>
        <w:tc>
          <w:tcPr>
            <w:tcW w:w="1913" w:type="dxa"/>
            <w:tcBorders>
              <w:top w:val="nil"/>
              <w:left w:val="single" w:sz="6" w:space="0" w:color="000000"/>
              <w:bottom w:val="single" w:sz="6"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Smith</w:t>
            </w:r>
          </w:p>
        </w:tc>
        <w:tc>
          <w:tcPr>
            <w:tcW w:w="464" w:type="dxa"/>
            <w:tcBorders>
              <w:top w:val="nil"/>
              <w:left w:val="single" w:sz="6" w:space="0" w:color="000000"/>
              <w:bottom w:val="single" w:sz="6" w:space="0" w:color="000000"/>
              <w:right w:val="single" w:sz="6" w:space="0" w:color="000000"/>
            </w:tcBorders>
            <w:hideMark/>
          </w:tcPr>
          <w:p w:rsidR="00521366" w:rsidRPr="00521366" w:rsidRDefault="00521366" w:rsidP="00521366">
            <w:pPr>
              <w:spacing w:after="0" w:line="240" w:lineRule="auto"/>
              <w:rPr>
                <w:rFonts w:ascii="Times New Roman" w:eastAsia="MS Mincho" w:hAnsi="Times New Roman" w:cs="Times New Roman"/>
                <w:sz w:val="20"/>
                <w:szCs w:val="20"/>
              </w:rPr>
            </w:pPr>
            <w:r w:rsidRPr="00521366">
              <w:rPr>
                <w:rFonts w:ascii="Times New Roman" w:eastAsia="Times New Roman" w:hAnsi="Times New Roman" w:cs="Times New Roman"/>
                <w:sz w:val="18"/>
                <w:szCs w:val="18"/>
              </w:rPr>
              <w:t>X</w:t>
            </w:r>
          </w:p>
        </w:tc>
        <w:tc>
          <w:tcPr>
            <w:tcW w:w="495" w:type="dxa"/>
            <w:tcBorders>
              <w:top w:val="nil"/>
              <w:left w:val="single" w:sz="6" w:space="0" w:color="000000"/>
              <w:bottom w:val="single" w:sz="6" w:space="0" w:color="000000"/>
              <w:right w:val="single" w:sz="6" w:space="0" w:color="000000"/>
            </w:tcBorders>
            <w:hideMark/>
          </w:tcPr>
          <w:p w:rsidR="00521366" w:rsidRPr="00521366" w:rsidRDefault="00521366" w:rsidP="00521366">
            <w:pPr>
              <w:spacing w:after="0" w:line="240" w:lineRule="auto"/>
              <w:rPr>
                <w:rFonts w:ascii="Times New Roman" w:eastAsia="MS Mincho" w:hAnsi="Times New Roman" w:cs="Times New Roman"/>
                <w:sz w:val="20"/>
                <w:szCs w:val="20"/>
              </w:rPr>
            </w:pPr>
          </w:p>
        </w:tc>
        <w:tc>
          <w:tcPr>
            <w:tcW w:w="450" w:type="dxa"/>
            <w:tcBorders>
              <w:top w:val="nil"/>
              <w:left w:val="single" w:sz="6" w:space="0" w:color="000000"/>
              <w:bottom w:val="single" w:sz="6" w:space="0" w:color="000000"/>
              <w:right w:val="single" w:sz="12" w:space="0" w:color="000000"/>
            </w:tcBorders>
          </w:tcPr>
          <w:p w:rsidR="00521366" w:rsidRPr="00521366" w:rsidRDefault="00521366" w:rsidP="00521366">
            <w:pPr>
              <w:autoSpaceDN w:val="0"/>
              <w:spacing w:after="0" w:line="276" w:lineRule="auto"/>
              <w:rPr>
                <w:rFonts w:ascii="Calibri" w:eastAsia="Times New Roman" w:hAnsi="Calibri" w:cs="Times New Roman"/>
              </w:rPr>
            </w:pPr>
          </w:p>
        </w:tc>
      </w:tr>
      <w:tr w:rsidR="00521366" w:rsidRPr="00521366" w:rsidTr="00F87C1E">
        <w:tc>
          <w:tcPr>
            <w:tcW w:w="1911" w:type="dxa"/>
            <w:tcBorders>
              <w:top w:val="single" w:sz="6" w:space="0" w:color="000000"/>
              <w:left w:val="single" w:sz="12" w:space="0" w:color="000000"/>
              <w:bottom w:val="single" w:sz="6"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kern w:val="18"/>
                <w:sz w:val="18"/>
                <w:szCs w:val="18"/>
                <w:lang w:bidi="en-US"/>
              </w:rPr>
              <w:t>Deatrick</w:t>
            </w:r>
          </w:p>
        </w:tc>
        <w:tc>
          <w:tcPr>
            <w:tcW w:w="462" w:type="dxa"/>
            <w:tcBorders>
              <w:top w:val="single" w:sz="6" w:space="0" w:color="000000"/>
              <w:left w:val="single" w:sz="6" w:space="0" w:color="000000"/>
              <w:bottom w:val="single" w:sz="6"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0" w:line="276" w:lineRule="auto"/>
              <w:rPr>
                <w:rFonts w:ascii="Arial" w:eastAsia="Times New Roman" w:hAnsi="Arial" w:cs="Times New Roman"/>
              </w:rPr>
            </w:pPr>
            <w:r w:rsidRPr="00521366">
              <w:rPr>
                <w:rFonts w:ascii="Times New Roman" w:eastAsia="Times New Roman" w:hAnsi="Times New Roman" w:cs="Times New Roman"/>
                <w:sz w:val="18"/>
                <w:szCs w:val="18"/>
                <w:lang w:bidi="en-US"/>
              </w:rPr>
              <w:t>X</w:t>
            </w:r>
          </w:p>
        </w:tc>
        <w:tc>
          <w:tcPr>
            <w:tcW w:w="495"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autoSpaceDN w:val="0"/>
              <w:spacing w:after="0" w:line="276" w:lineRule="auto"/>
              <w:rPr>
                <w:rFonts w:ascii="Calibri" w:eastAsia="Times New Roman" w:hAnsi="Calibri" w:cs="Times New Roman"/>
              </w:rPr>
            </w:pPr>
          </w:p>
        </w:tc>
        <w:tc>
          <w:tcPr>
            <w:tcW w:w="464"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autoSpaceDN w:val="0"/>
              <w:spacing w:after="0" w:line="276" w:lineRule="auto"/>
              <w:rPr>
                <w:rFonts w:ascii="Calibri" w:eastAsia="Times New Roman" w:hAnsi="Calibri" w:cs="Times New Roman"/>
              </w:rPr>
            </w:pPr>
          </w:p>
        </w:tc>
        <w:tc>
          <w:tcPr>
            <w:tcW w:w="1913" w:type="dxa"/>
            <w:tcBorders>
              <w:top w:val="single" w:sz="6" w:space="0" w:color="000000"/>
              <w:left w:val="single" w:sz="6" w:space="0" w:color="000000"/>
              <w:bottom w:val="single" w:sz="6"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Martinez-Kratz</w:t>
            </w:r>
          </w:p>
        </w:tc>
        <w:tc>
          <w:tcPr>
            <w:tcW w:w="464" w:type="dxa"/>
            <w:tcBorders>
              <w:top w:val="single" w:sz="6" w:space="0" w:color="000000"/>
              <w:left w:val="single" w:sz="6" w:space="0" w:color="000000"/>
              <w:bottom w:val="single" w:sz="6"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rPr>
            </w:pPr>
          </w:p>
        </w:tc>
        <w:tc>
          <w:tcPr>
            <w:tcW w:w="495"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p>
        </w:tc>
        <w:tc>
          <w:tcPr>
            <w:tcW w:w="464" w:type="dxa"/>
            <w:tcBorders>
              <w:top w:val="single" w:sz="6" w:space="0" w:color="000000"/>
              <w:left w:val="single" w:sz="6" w:space="0" w:color="000000"/>
              <w:bottom w:val="single" w:sz="6" w:space="0" w:color="000000"/>
              <w:right w:val="single" w:sz="6" w:space="0" w:color="000000"/>
            </w:tcBorders>
          </w:tcPr>
          <w:p w:rsidR="00521366" w:rsidRPr="00521366" w:rsidRDefault="00025EF8" w:rsidP="00521366">
            <w:pPr>
              <w:autoSpaceDN w:val="0"/>
              <w:spacing w:after="0" w:line="276" w:lineRule="auto"/>
              <w:rPr>
                <w:rFonts w:ascii="Calibri" w:eastAsia="Times New Roman" w:hAnsi="Calibri" w:cs="Times New Roman"/>
              </w:rPr>
            </w:pPr>
            <w:r w:rsidRPr="00521366">
              <w:rPr>
                <w:rFonts w:ascii="Times New Roman" w:eastAsia="Times New Roman" w:hAnsi="Times New Roman" w:cs="Times New Roman"/>
                <w:sz w:val="18"/>
                <w:szCs w:val="18"/>
              </w:rPr>
              <w:t>X</w:t>
            </w:r>
          </w:p>
        </w:tc>
        <w:tc>
          <w:tcPr>
            <w:tcW w:w="1913"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p>
        </w:tc>
        <w:tc>
          <w:tcPr>
            <w:tcW w:w="464"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sz w:val="18"/>
                <w:szCs w:val="18"/>
              </w:rPr>
            </w:pPr>
          </w:p>
        </w:tc>
        <w:tc>
          <w:tcPr>
            <w:tcW w:w="495"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autoSpaceDN w:val="0"/>
              <w:spacing w:after="0" w:line="276" w:lineRule="auto"/>
              <w:rPr>
                <w:rFonts w:ascii="Calibri" w:eastAsia="Times New Roman" w:hAnsi="Calibri" w:cs="Times New Roman"/>
              </w:rPr>
            </w:pPr>
          </w:p>
        </w:tc>
        <w:tc>
          <w:tcPr>
            <w:tcW w:w="450" w:type="dxa"/>
            <w:tcBorders>
              <w:top w:val="single" w:sz="6" w:space="0" w:color="000000"/>
              <w:left w:val="single" w:sz="6" w:space="0" w:color="000000"/>
              <w:bottom w:val="single" w:sz="6" w:space="0" w:color="000000"/>
              <w:right w:val="single" w:sz="12" w:space="0" w:color="000000"/>
            </w:tcBorders>
          </w:tcPr>
          <w:p w:rsidR="00521366" w:rsidRPr="00521366" w:rsidRDefault="00521366" w:rsidP="00521366">
            <w:pPr>
              <w:autoSpaceDN w:val="0"/>
              <w:spacing w:after="0" w:line="276" w:lineRule="auto"/>
              <w:rPr>
                <w:rFonts w:ascii="Calibri" w:eastAsia="Times New Roman" w:hAnsi="Calibri" w:cs="Times New Roman"/>
              </w:rPr>
            </w:pPr>
          </w:p>
        </w:tc>
      </w:tr>
      <w:tr w:rsidR="00521366" w:rsidRPr="00521366" w:rsidTr="00F87C1E">
        <w:tc>
          <w:tcPr>
            <w:tcW w:w="1911" w:type="dxa"/>
            <w:tcBorders>
              <w:top w:val="single" w:sz="6" w:space="0" w:color="000000"/>
              <w:left w:val="single" w:sz="12" w:space="0" w:color="000000"/>
              <w:bottom w:val="single" w:sz="6"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ind w:left="-810" w:firstLine="810"/>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Jamnick</w:t>
            </w:r>
          </w:p>
        </w:tc>
        <w:tc>
          <w:tcPr>
            <w:tcW w:w="462" w:type="dxa"/>
            <w:tcBorders>
              <w:top w:val="single" w:sz="6" w:space="0" w:color="000000"/>
              <w:left w:val="single" w:sz="6" w:space="0" w:color="000000"/>
              <w:bottom w:val="single" w:sz="6" w:space="0" w:color="000000"/>
              <w:right w:val="single" w:sz="6" w:space="0" w:color="000000"/>
            </w:tcBorders>
            <w:hideMark/>
          </w:tcPr>
          <w:p w:rsidR="00521366" w:rsidRPr="00521366" w:rsidRDefault="00025EF8" w:rsidP="00521366">
            <w:pPr>
              <w:widowControl w:val="0"/>
              <w:overflowPunct w:val="0"/>
              <w:autoSpaceDE w:val="0"/>
              <w:autoSpaceDN w:val="0"/>
              <w:adjustRightInd w:val="0"/>
              <w:spacing w:after="200" w:line="276" w:lineRule="auto"/>
              <w:rPr>
                <w:rFonts w:ascii="Arial" w:eastAsia="Times New Roman" w:hAnsi="Arial" w:cs="Arial"/>
                <w:color w:val="000000"/>
                <w:sz w:val="18"/>
                <w:szCs w:val="18"/>
              </w:rPr>
            </w:pPr>
            <w:r w:rsidRPr="00521366">
              <w:rPr>
                <w:rFonts w:ascii="Times New Roman" w:eastAsia="Times New Roman" w:hAnsi="Times New Roman" w:cs="Times New Roman"/>
                <w:sz w:val="18"/>
                <w:szCs w:val="18"/>
              </w:rPr>
              <w:t>X</w:t>
            </w:r>
          </w:p>
        </w:tc>
        <w:tc>
          <w:tcPr>
            <w:tcW w:w="495"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p>
        </w:tc>
        <w:tc>
          <w:tcPr>
            <w:tcW w:w="464"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autoSpaceDN w:val="0"/>
              <w:spacing w:after="0" w:line="276" w:lineRule="auto"/>
              <w:rPr>
                <w:rFonts w:ascii="Calibri" w:eastAsia="Times New Roman" w:hAnsi="Calibri" w:cs="Times New Roman"/>
              </w:rPr>
            </w:pPr>
          </w:p>
        </w:tc>
        <w:tc>
          <w:tcPr>
            <w:tcW w:w="1913" w:type="dxa"/>
            <w:tcBorders>
              <w:top w:val="single" w:sz="6" w:space="0" w:color="000000"/>
              <w:left w:val="single" w:sz="6" w:space="0" w:color="000000"/>
              <w:bottom w:val="single" w:sz="6"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Morgan</w:t>
            </w:r>
          </w:p>
        </w:tc>
        <w:tc>
          <w:tcPr>
            <w:tcW w:w="464" w:type="dxa"/>
            <w:tcBorders>
              <w:top w:val="single" w:sz="6" w:space="0" w:color="000000"/>
              <w:left w:val="single" w:sz="6" w:space="0" w:color="000000"/>
              <w:bottom w:val="single" w:sz="6" w:space="0" w:color="000000"/>
              <w:right w:val="single" w:sz="6" w:space="0" w:color="000000"/>
            </w:tcBorders>
            <w:hideMark/>
          </w:tcPr>
          <w:p w:rsidR="00521366" w:rsidRPr="00521366" w:rsidRDefault="00521366" w:rsidP="00521366">
            <w:pPr>
              <w:spacing w:after="0" w:line="276" w:lineRule="auto"/>
              <w:rPr>
                <w:rFonts w:ascii="Times New Roman" w:eastAsia="Times New Roman" w:hAnsi="Times New Roman" w:cs="Times New Roman"/>
                <w:sz w:val="18"/>
              </w:rPr>
            </w:pPr>
            <w:r w:rsidRPr="00521366">
              <w:rPr>
                <w:rFonts w:ascii="Times New Roman" w:eastAsia="Times New Roman" w:hAnsi="Times New Roman" w:cs="Times New Roman"/>
                <w:sz w:val="18"/>
              </w:rPr>
              <w:t>X</w:t>
            </w:r>
          </w:p>
        </w:tc>
        <w:tc>
          <w:tcPr>
            <w:tcW w:w="495"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autoSpaceDN w:val="0"/>
              <w:spacing w:after="0" w:line="276" w:lineRule="auto"/>
              <w:rPr>
                <w:rFonts w:ascii="Calibri" w:eastAsia="Times New Roman" w:hAnsi="Calibri" w:cs="Times New Roman"/>
              </w:rPr>
            </w:pPr>
          </w:p>
        </w:tc>
        <w:tc>
          <w:tcPr>
            <w:tcW w:w="464" w:type="dxa"/>
            <w:tcBorders>
              <w:top w:val="single" w:sz="6" w:space="0" w:color="000000"/>
              <w:left w:val="single" w:sz="6" w:space="0" w:color="000000"/>
              <w:bottom w:val="single" w:sz="6" w:space="0" w:color="000000"/>
              <w:right w:val="single" w:sz="6" w:space="0" w:color="000000"/>
            </w:tcBorders>
            <w:hideMark/>
          </w:tcPr>
          <w:p w:rsidR="00521366" w:rsidRPr="00521366" w:rsidRDefault="00521366" w:rsidP="00521366">
            <w:pPr>
              <w:spacing w:after="0" w:line="240" w:lineRule="auto"/>
              <w:rPr>
                <w:rFonts w:ascii="Calibri" w:eastAsia="Times New Roman" w:hAnsi="Calibri" w:cs="Times New Roman"/>
              </w:rPr>
            </w:pPr>
          </w:p>
        </w:tc>
        <w:tc>
          <w:tcPr>
            <w:tcW w:w="1913"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p>
        </w:tc>
        <w:tc>
          <w:tcPr>
            <w:tcW w:w="464"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sz w:val="18"/>
                <w:szCs w:val="18"/>
              </w:rPr>
            </w:pPr>
          </w:p>
        </w:tc>
        <w:tc>
          <w:tcPr>
            <w:tcW w:w="495" w:type="dxa"/>
            <w:tcBorders>
              <w:top w:val="single" w:sz="6" w:space="0" w:color="000000"/>
              <w:left w:val="single" w:sz="6" w:space="0" w:color="000000"/>
              <w:bottom w:val="single" w:sz="6" w:space="0" w:color="000000"/>
              <w:right w:val="single" w:sz="6" w:space="0" w:color="000000"/>
            </w:tcBorders>
          </w:tcPr>
          <w:p w:rsidR="00521366" w:rsidRPr="00521366" w:rsidRDefault="00521366" w:rsidP="00521366">
            <w:pPr>
              <w:autoSpaceDN w:val="0"/>
              <w:spacing w:after="0" w:line="276" w:lineRule="auto"/>
              <w:rPr>
                <w:rFonts w:ascii="Calibri" w:eastAsia="Times New Roman" w:hAnsi="Calibri" w:cs="Times New Roman"/>
              </w:rPr>
            </w:pPr>
          </w:p>
        </w:tc>
        <w:tc>
          <w:tcPr>
            <w:tcW w:w="450" w:type="dxa"/>
            <w:tcBorders>
              <w:top w:val="single" w:sz="6" w:space="0" w:color="000000"/>
              <w:left w:val="single" w:sz="6" w:space="0" w:color="000000"/>
              <w:bottom w:val="single" w:sz="6" w:space="0" w:color="000000"/>
              <w:right w:val="single" w:sz="12" w:space="0" w:color="000000"/>
            </w:tcBorders>
          </w:tcPr>
          <w:p w:rsidR="00521366" w:rsidRPr="00521366" w:rsidRDefault="00521366" w:rsidP="00521366">
            <w:pPr>
              <w:autoSpaceDN w:val="0"/>
              <w:spacing w:after="0" w:line="276" w:lineRule="auto"/>
              <w:rPr>
                <w:rFonts w:ascii="Calibri" w:eastAsia="Times New Roman" w:hAnsi="Calibri" w:cs="Times New Roman"/>
              </w:rPr>
            </w:pPr>
          </w:p>
        </w:tc>
      </w:tr>
      <w:tr w:rsidR="00521366" w:rsidRPr="00521366" w:rsidTr="00F87C1E">
        <w:tc>
          <w:tcPr>
            <w:tcW w:w="1911" w:type="dxa"/>
            <w:tcBorders>
              <w:top w:val="single" w:sz="6" w:space="0" w:color="000000"/>
              <w:left w:val="single" w:sz="12"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Jefferson</w:t>
            </w:r>
          </w:p>
        </w:tc>
        <w:tc>
          <w:tcPr>
            <w:tcW w:w="462" w:type="dxa"/>
            <w:tcBorders>
              <w:top w:val="single" w:sz="6"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0" w:line="276" w:lineRule="auto"/>
              <w:rPr>
                <w:rFonts w:ascii="Arial" w:eastAsia="Times New Roman" w:hAnsi="Arial" w:cs="Times New Roman"/>
              </w:rPr>
            </w:pPr>
            <w:r w:rsidRPr="00521366">
              <w:rPr>
                <w:rFonts w:ascii="Times New Roman" w:eastAsia="Times New Roman" w:hAnsi="Times New Roman" w:cs="Times New Roman"/>
                <w:sz w:val="18"/>
                <w:szCs w:val="18"/>
              </w:rPr>
              <w:t>X</w:t>
            </w:r>
          </w:p>
        </w:tc>
        <w:tc>
          <w:tcPr>
            <w:tcW w:w="495" w:type="dxa"/>
            <w:tcBorders>
              <w:top w:val="single" w:sz="6" w:space="0" w:color="000000"/>
              <w:left w:val="single" w:sz="6" w:space="0" w:color="000000"/>
              <w:bottom w:val="single" w:sz="12"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p>
        </w:tc>
        <w:tc>
          <w:tcPr>
            <w:tcW w:w="464" w:type="dxa"/>
            <w:tcBorders>
              <w:top w:val="single" w:sz="6" w:space="0" w:color="000000"/>
              <w:left w:val="single" w:sz="6" w:space="0" w:color="000000"/>
              <w:bottom w:val="single" w:sz="12" w:space="0" w:color="000000"/>
              <w:right w:val="single" w:sz="6" w:space="0" w:color="000000"/>
            </w:tcBorders>
          </w:tcPr>
          <w:p w:rsidR="00521366" w:rsidRPr="00521366" w:rsidRDefault="00521366" w:rsidP="00521366">
            <w:pPr>
              <w:autoSpaceDN w:val="0"/>
              <w:spacing w:after="0" w:line="276" w:lineRule="auto"/>
              <w:rPr>
                <w:rFonts w:ascii="Calibri" w:eastAsia="Times New Roman" w:hAnsi="Calibri" w:cs="Times New Roman"/>
              </w:rPr>
            </w:pPr>
          </w:p>
        </w:tc>
        <w:tc>
          <w:tcPr>
            <w:tcW w:w="1913" w:type="dxa"/>
            <w:tcBorders>
              <w:top w:val="single" w:sz="6"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Ping</w:t>
            </w:r>
          </w:p>
        </w:tc>
        <w:tc>
          <w:tcPr>
            <w:tcW w:w="464" w:type="dxa"/>
            <w:tcBorders>
              <w:top w:val="single" w:sz="6" w:space="0" w:color="000000"/>
              <w:left w:val="single" w:sz="6" w:space="0" w:color="000000"/>
              <w:bottom w:val="single" w:sz="12"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0" w:line="276" w:lineRule="auto"/>
              <w:rPr>
                <w:rFonts w:ascii="Arial" w:eastAsia="Times New Roman" w:hAnsi="Arial" w:cs="Times New Roman"/>
              </w:rPr>
            </w:pPr>
          </w:p>
        </w:tc>
        <w:tc>
          <w:tcPr>
            <w:tcW w:w="495" w:type="dxa"/>
            <w:tcBorders>
              <w:top w:val="single" w:sz="6" w:space="0" w:color="000000"/>
              <w:left w:val="single" w:sz="6" w:space="0" w:color="000000"/>
              <w:bottom w:val="single" w:sz="12" w:space="0" w:color="000000"/>
              <w:right w:val="single" w:sz="6" w:space="0" w:color="000000"/>
            </w:tcBorders>
          </w:tcPr>
          <w:p w:rsidR="00521366" w:rsidRPr="00521366" w:rsidRDefault="00521366" w:rsidP="00521366">
            <w:pPr>
              <w:autoSpaceDN w:val="0"/>
              <w:spacing w:after="0" w:line="276" w:lineRule="auto"/>
              <w:rPr>
                <w:rFonts w:ascii="Calibri" w:eastAsia="Times New Roman" w:hAnsi="Calibri" w:cs="Times New Roman"/>
              </w:rPr>
            </w:pPr>
          </w:p>
        </w:tc>
        <w:tc>
          <w:tcPr>
            <w:tcW w:w="464" w:type="dxa"/>
            <w:tcBorders>
              <w:top w:val="single" w:sz="6" w:space="0" w:color="000000"/>
              <w:left w:val="single" w:sz="6" w:space="0" w:color="000000"/>
              <w:bottom w:val="single" w:sz="12" w:space="0" w:color="000000"/>
              <w:right w:val="single" w:sz="6" w:space="0" w:color="000000"/>
            </w:tcBorders>
          </w:tcPr>
          <w:p w:rsidR="00521366" w:rsidRPr="00521366" w:rsidRDefault="00025EF8" w:rsidP="00521366">
            <w:pPr>
              <w:autoSpaceDN w:val="0"/>
              <w:spacing w:after="0" w:line="276" w:lineRule="auto"/>
              <w:rPr>
                <w:rFonts w:ascii="Calibri" w:eastAsia="Times New Roman" w:hAnsi="Calibri" w:cs="Times New Roman"/>
              </w:rPr>
            </w:pPr>
            <w:r w:rsidRPr="00521366">
              <w:rPr>
                <w:rFonts w:ascii="Times New Roman" w:eastAsia="Times New Roman" w:hAnsi="Times New Roman" w:cs="Times New Roman"/>
                <w:kern w:val="18"/>
                <w:sz w:val="18"/>
                <w:szCs w:val="18"/>
                <w:lang w:bidi="en-US"/>
              </w:rPr>
              <w:t>X</w:t>
            </w:r>
          </w:p>
        </w:tc>
        <w:tc>
          <w:tcPr>
            <w:tcW w:w="1913" w:type="dxa"/>
            <w:tcBorders>
              <w:top w:val="single" w:sz="6" w:space="0" w:color="000000"/>
              <w:left w:val="single" w:sz="6" w:space="0" w:color="000000"/>
              <w:bottom w:val="single" w:sz="12"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p>
        </w:tc>
        <w:tc>
          <w:tcPr>
            <w:tcW w:w="464" w:type="dxa"/>
            <w:tcBorders>
              <w:top w:val="single" w:sz="6" w:space="0" w:color="000000"/>
              <w:left w:val="single" w:sz="6" w:space="0" w:color="000000"/>
              <w:bottom w:val="single" w:sz="12"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p>
        </w:tc>
        <w:tc>
          <w:tcPr>
            <w:tcW w:w="495" w:type="dxa"/>
            <w:tcBorders>
              <w:top w:val="single" w:sz="6" w:space="0" w:color="000000"/>
              <w:left w:val="single" w:sz="6" w:space="0" w:color="000000"/>
              <w:bottom w:val="single" w:sz="12" w:space="0" w:color="000000"/>
              <w:right w:val="single" w:sz="6"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p>
        </w:tc>
        <w:tc>
          <w:tcPr>
            <w:tcW w:w="450" w:type="dxa"/>
            <w:tcBorders>
              <w:top w:val="single" w:sz="6" w:space="0" w:color="000000"/>
              <w:left w:val="single" w:sz="6" w:space="0" w:color="000000"/>
              <w:bottom w:val="single" w:sz="12" w:space="0" w:color="000000"/>
              <w:right w:val="single" w:sz="12" w:space="0" w:color="000000"/>
            </w:tcBorders>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color w:val="000000"/>
                <w:kern w:val="18"/>
                <w:sz w:val="18"/>
                <w:szCs w:val="18"/>
                <w:lang w:bidi="en-US"/>
              </w:rPr>
            </w:pPr>
          </w:p>
        </w:tc>
      </w:tr>
    </w:tbl>
    <w:p w:rsidR="00521366" w:rsidRPr="00521366" w:rsidRDefault="00521366" w:rsidP="00521366">
      <w:pPr>
        <w:autoSpaceDN w:val="0"/>
        <w:spacing w:after="0" w:line="240" w:lineRule="auto"/>
        <w:ind w:right="-540"/>
        <w:rPr>
          <w:rFonts w:ascii="Arial" w:eastAsia="Times New Roman" w:hAnsi="Arial" w:cs="Arial"/>
          <w:color w:val="000000"/>
          <w:kern w:val="18"/>
          <w:sz w:val="18"/>
          <w:szCs w:val="18"/>
          <w:lang w:bidi="en-US"/>
        </w:rPr>
      </w:pPr>
      <w:r w:rsidRPr="00521366">
        <w:rPr>
          <w:rFonts w:ascii="Times New Roman" w:eastAsia="Times New Roman" w:hAnsi="Times New Roman" w:cs="Times New Roman"/>
          <w:sz w:val="18"/>
          <w:szCs w:val="18"/>
          <w:lang w:bidi="en-US"/>
        </w:rPr>
        <w:t>CLERK/REGISTER’S CERTIFICATE - CERTIFIED COPY</w:t>
      </w:r>
      <w:r w:rsidRPr="00521366">
        <w:rPr>
          <w:rFonts w:ascii="Times New Roman" w:eastAsia="Times New Roman" w:hAnsi="Times New Roman" w:cs="Times New Roman"/>
          <w:sz w:val="18"/>
          <w:szCs w:val="18"/>
          <w:lang w:bidi="en-US"/>
        </w:rPr>
        <w:tab/>
        <w:t xml:space="preserve">           ROLL CALL VOTE:        </w:t>
      </w:r>
      <w:r w:rsidR="00025EF8">
        <w:rPr>
          <w:rFonts w:ascii="Times New Roman" w:eastAsia="Times New Roman" w:hAnsi="Times New Roman" w:cs="Times New Roman"/>
          <w:sz w:val="18"/>
          <w:szCs w:val="18"/>
          <w:lang w:bidi="en-US"/>
        </w:rPr>
        <w:t xml:space="preserve">                 6      0      3</w:t>
      </w:r>
      <w:r w:rsidRPr="00521366">
        <w:rPr>
          <w:rFonts w:ascii="Times New Roman" w:eastAsia="Times New Roman" w:hAnsi="Times New Roman" w:cs="Times New Roman"/>
          <w:sz w:val="18"/>
          <w:szCs w:val="18"/>
          <w:lang w:bidi="en-US"/>
        </w:rPr>
        <w:t xml:space="preserve">                              </w:t>
      </w:r>
    </w:p>
    <w:p w:rsidR="00521366" w:rsidRPr="00521366" w:rsidRDefault="00521366" w:rsidP="00521366">
      <w:pPr>
        <w:autoSpaceDN w:val="0"/>
        <w:spacing w:after="0" w:line="240" w:lineRule="auto"/>
        <w:rPr>
          <w:rFonts w:ascii="Times New Roman" w:eastAsia="Times New Roman" w:hAnsi="Times New Roman" w:cs="Times New Roman"/>
          <w:sz w:val="18"/>
          <w:szCs w:val="18"/>
          <w:lang w:bidi="en-US"/>
        </w:rPr>
      </w:pPr>
      <w:r w:rsidRPr="00521366">
        <w:rPr>
          <w:rFonts w:ascii="Times New Roman" w:eastAsia="Times New Roman" w:hAnsi="Times New Roman" w:cs="Times New Roman"/>
          <w:noProof/>
          <w:sz w:val="20"/>
          <w:szCs w:val="20"/>
        </w:rPr>
        <mc:AlternateContent>
          <mc:Choice Requires="wps">
            <w:drawing>
              <wp:anchor distT="4294967288" distB="4294967288" distL="114300" distR="114300" simplePos="0" relativeHeight="251659264" behindDoc="0" locked="0" layoutInCell="1" allowOverlap="1">
                <wp:simplePos x="0" y="0"/>
                <wp:positionH relativeFrom="column">
                  <wp:posOffset>0</wp:posOffset>
                </wp:positionH>
                <wp:positionV relativeFrom="paragraph">
                  <wp:posOffset>66674</wp:posOffset>
                </wp:positionV>
                <wp:extent cx="62217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73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FB723" id="Straight Connector 4"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0,5.25pt" to="489.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xfMwIAAG4EAAAOAAAAZHJzL2Uyb0RvYy54bWysVE2P2yAQvVfqf0Dcs7azTjax4qwqO+ll&#10;242U7Q8ggG1UDAhInKjqf+9APrrbHlpV9QEDMzy/efPw4vHYS3Tg1gmtSpzdpRhxRTUTqi3xl5f1&#10;aIaR80QxIrXiJT5xhx+X798tBlPwse60ZNwiAFGuGEyJO+9NkSSOdrwn7k4briDYaNsTD0vbJsyS&#10;AdB7mYzTdJoM2jJjNeXOwW59DuJlxG8aTv1z0zjukSwxcPNxtHHchTFZLkjRWmI6QS80yD+w6IlQ&#10;8NEbVE08QXsrfoPqBbXa6cbfUd0numkE5bEGqCZLf6lm2xHDYy0gjjM3mdz/g6WfDxuLBCtxjpEi&#10;PbRo6y0RbedRpZUCAbVFedBpMK6A9EptbKiUHtXWPGn61SGlq46olke+LycDIFk4kbw5EhbOwNd2&#10;wyfNIIfsvY6iHRvbB0iQAx1jb0633vCjRxQ2p+Nx9nAPLaTXWEKK60Fjnf/IdY/CpMRSqCAbKcjh&#10;yflAhBTXlLCt9FpIGVsvFRpKPJ+MJ/GA01KwEAxpzra7Slp0IME88YlVQeR1mtV7xSJYxwlbKYZ8&#10;lECB4XFAdz1GksP1gEnM80TIP+cBaakCD5AAyrjMzq76Nk/nq9lqlo/y8XQ1ytO6Hn1YV/lous4e&#10;JvV9XVV19j2UlOVFJxjjKlR1dXiW/52DLnft7M2bx2/yJW/Ro85A9vqOpKMHQtvPBtppdtrY0JJg&#10;BzB1TL5cwHBrXq9j1s/fxPIHAAAA//8DAFBLAwQUAAYACAAAACEAgb5fl9sAAAAGAQAADwAAAGRy&#10;cy9kb3ducmV2LnhtbEyPzU7DMBCE70i8g7VI3KgDEpSmcaryU8ENUeiht228JBHxOordxuXpWcQB&#10;jjszmv2mWCTXqQMNofVs4HKSgSKuvG25NvD+trq4BRUissXOMxk4UoBFeXpSYG79yK90WMdaSQmH&#10;HA00Mfa51qFqyGGY+J5YvA8/OIxyDrW2A45S7jp9lWU32mHL8qHBnu4bqj7Xe2dg+RSnx+3qsWd8&#10;+do+2DE9322SMednaTkHFSnFvzD84As6lMK083u2QXUGZEgUNbsGJe5sOpMhu19Bl4X+j19+AwAA&#10;//8DAFBLAQItABQABgAIAAAAIQC2gziS/gAAAOEBAAATAAAAAAAAAAAAAAAAAAAAAABbQ29udGVu&#10;dF9UeXBlc10ueG1sUEsBAi0AFAAGAAgAAAAhADj9If/WAAAAlAEAAAsAAAAAAAAAAAAAAAAALwEA&#10;AF9yZWxzLy5yZWxzUEsBAi0AFAAGAAgAAAAhANHhvF8zAgAAbgQAAA4AAAAAAAAAAAAAAAAALgIA&#10;AGRycy9lMm9Eb2MueG1sUEsBAi0AFAAGAAgAAAAhAIG+X5fbAAAABgEAAA8AAAAAAAAAAAAAAAAA&#10;jQQAAGRycy9kb3ducmV2LnhtbFBLBQYAAAAABAAEAPMAAACVBQAAAAA=&#10;">
                <v:stroke startarrowwidth="narrow" startarrowlength="short" endarrowwidth="narrow" endarrowlength="short"/>
              </v:line>
            </w:pict>
          </mc:Fallback>
        </mc:AlternateContent>
      </w:r>
    </w:p>
    <w:p w:rsidR="00521366" w:rsidRPr="00521366" w:rsidRDefault="00521366" w:rsidP="00521366">
      <w:pPr>
        <w:autoSpaceDN w:val="0"/>
        <w:spacing w:after="0" w:line="240" w:lineRule="auto"/>
        <w:ind w:left="3060" w:right="-270" w:hanging="3060"/>
        <w:rPr>
          <w:rFonts w:ascii="Arial" w:eastAsia="Times New Roman" w:hAnsi="Arial" w:cs="Times New Roman"/>
          <w:sz w:val="18"/>
          <w:szCs w:val="18"/>
          <w:lang w:bidi="en-US"/>
        </w:rPr>
      </w:pPr>
      <w:r w:rsidRPr="00521366">
        <w:rPr>
          <w:rFonts w:ascii="Times New Roman" w:eastAsia="Times New Roman" w:hAnsi="Times New Roman" w:cs="Times New Roman"/>
          <w:sz w:val="18"/>
          <w:szCs w:val="18"/>
          <w:lang w:bidi="en-US"/>
        </w:rPr>
        <w:t>STATE OF MICHIGAN         )</w:t>
      </w:r>
      <w:r w:rsidRPr="00521366">
        <w:rPr>
          <w:rFonts w:ascii="Times New Roman" w:eastAsia="Times New Roman" w:hAnsi="Times New Roman" w:cs="Times New Roman"/>
          <w:sz w:val="18"/>
          <w:szCs w:val="18"/>
          <w:lang w:bidi="en-US"/>
        </w:rPr>
        <w:tab/>
      </w:r>
      <w:r w:rsidRPr="00521366">
        <w:rPr>
          <w:rFonts w:ascii="Times New Roman" w:eastAsia="Times New Roman" w:hAnsi="Times New Roman" w:cs="Times New Roman"/>
          <w:sz w:val="18"/>
          <w:szCs w:val="18"/>
          <w:lang w:bidi="en-US"/>
        </w:rPr>
        <w:tab/>
        <w:t xml:space="preserve">I, Lawrence Kestenbaum, Clerk/Register of said County of Washtenaw and Clerk of Circuit Court for said County, do hereby certify that the foregoing is a true and accurate copy of a resolution adopted by the Washtenaw County Board of Commissioners at a session held at the County Administration Building in the City of Ann Arbor, Michigan, on February </w:t>
      </w:r>
      <w:r w:rsidR="00025EF8">
        <w:rPr>
          <w:rFonts w:ascii="Times New Roman" w:eastAsia="Times New Roman" w:hAnsi="Times New Roman" w:cs="Times New Roman"/>
          <w:sz w:val="18"/>
          <w:szCs w:val="18"/>
          <w:lang w:bidi="en-US"/>
        </w:rPr>
        <w:t>15</w:t>
      </w:r>
      <w:r w:rsidRPr="00521366">
        <w:rPr>
          <w:rFonts w:ascii="Times New Roman" w:eastAsia="Times New Roman" w:hAnsi="Times New Roman" w:cs="Times New Roman"/>
          <w:sz w:val="18"/>
          <w:szCs w:val="18"/>
          <w:vertAlign w:val="superscript"/>
          <w:lang w:bidi="en-US"/>
        </w:rPr>
        <w:t>th</w:t>
      </w:r>
      <w:r w:rsidRPr="00521366">
        <w:rPr>
          <w:rFonts w:ascii="Times New Roman" w:eastAsia="Times New Roman" w:hAnsi="Times New Roman" w:cs="Times New Roman"/>
          <w:sz w:val="18"/>
          <w:szCs w:val="18"/>
          <w:lang w:bidi="en-US"/>
        </w:rPr>
        <w:t>, 2018, as it appears of record in my office.</w:t>
      </w:r>
    </w:p>
    <w:p w:rsidR="00521366" w:rsidRPr="00521366" w:rsidRDefault="00521366" w:rsidP="00521366">
      <w:pPr>
        <w:autoSpaceDN w:val="0"/>
        <w:spacing w:after="0" w:line="240" w:lineRule="auto"/>
        <w:ind w:left="3060" w:hanging="3060"/>
        <w:rPr>
          <w:rFonts w:ascii="Times New Roman" w:eastAsia="Times New Roman" w:hAnsi="Times New Roman" w:cs="Times New Roman"/>
          <w:sz w:val="18"/>
          <w:szCs w:val="18"/>
          <w:lang w:bidi="en-US"/>
        </w:rPr>
      </w:pPr>
      <w:r w:rsidRPr="00521366">
        <w:rPr>
          <w:rFonts w:ascii="Times New Roman" w:eastAsia="Times New Roman" w:hAnsi="Times New Roman" w:cs="Times New Roman"/>
          <w:sz w:val="18"/>
          <w:szCs w:val="18"/>
          <w:lang w:bidi="en-US"/>
        </w:rPr>
        <w:t>COUNTY OF WASHTENAW</w:t>
      </w:r>
      <w:proofErr w:type="gramStart"/>
      <w:r w:rsidRPr="00521366">
        <w:rPr>
          <w:rFonts w:ascii="Times New Roman" w:eastAsia="Times New Roman" w:hAnsi="Times New Roman" w:cs="Times New Roman"/>
          <w:sz w:val="18"/>
          <w:szCs w:val="18"/>
          <w:lang w:bidi="en-US"/>
        </w:rPr>
        <w:t>)</w:t>
      </w:r>
      <w:r w:rsidRPr="00521366">
        <w:rPr>
          <w:rFonts w:ascii="Times New Roman" w:eastAsia="Times New Roman" w:hAnsi="Times New Roman" w:cs="Times New Roman"/>
          <w:sz w:val="18"/>
          <w:szCs w:val="18"/>
          <w:vertAlign w:val="superscript"/>
          <w:lang w:bidi="en-US"/>
        </w:rPr>
        <w:t>SS</w:t>
      </w:r>
      <w:proofErr w:type="gramEnd"/>
      <w:r w:rsidRPr="00521366">
        <w:rPr>
          <w:rFonts w:ascii="Times New Roman" w:eastAsia="Times New Roman" w:hAnsi="Times New Roman" w:cs="Times New Roman"/>
          <w:sz w:val="18"/>
          <w:szCs w:val="18"/>
          <w:vertAlign w:val="superscript"/>
          <w:lang w:bidi="en-US"/>
        </w:rPr>
        <w:t>.</w:t>
      </w:r>
      <w:r w:rsidRPr="00521366">
        <w:rPr>
          <w:rFonts w:ascii="Times New Roman" w:eastAsia="Times New Roman" w:hAnsi="Times New Roman" w:cs="Times New Roman"/>
          <w:sz w:val="18"/>
          <w:szCs w:val="18"/>
          <w:vertAlign w:val="superscript"/>
          <w:lang w:bidi="en-US"/>
        </w:rPr>
        <w:tab/>
      </w:r>
      <w:r w:rsidRPr="00521366">
        <w:rPr>
          <w:rFonts w:ascii="Times New Roman" w:eastAsia="Times New Roman" w:hAnsi="Times New Roman" w:cs="Times New Roman"/>
          <w:sz w:val="18"/>
          <w:szCs w:val="18"/>
          <w:lang w:bidi="en-US"/>
        </w:rPr>
        <w:tab/>
        <w:t xml:space="preserve">In Testimony Whereof, I have hereunto set my hand and affixed the seal of said Court at Ann Arbor, this </w:t>
      </w:r>
      <w:r w:rsidR="00025EF8">
        <w:rPr>
          <w:rFonts w:ascii="Times New Roman" w:eastAsia="Times New Roman" w:hAnsi="Times New Roman" w:cs="Times New Roman"/>
          <w:sz w:val="18"/>
          <w:szCs w:val="18"/>
          <w:lang w:bidi="en-US"/>
        </w:rPr>
        <w:t>16</w:t>
      </w:r>
      <w:r w:rsidRPr="00521366">
        <w:rPr>
          <w:rFonts w:ascii="Times New Roman" w:eastAsia="Times New Roman" w:hAnsi="Times New Roman" w:cs="Times New Roman"/>
          <w:sz w:val="18"/>
          <w:szCs w:val="18"/>
          <w:vertAlign w:val="superscript"/>
          <w:lang w:bidi="en-US"/>
        </w:rPr>
        <w:t>th</w:t>
      </w:r>
      <w:r w:rsidRPr="00521366">
        <w:rPr>
          <w:rFonts w:ascii="Times New Roman" w:eastAsia="Times New Roman" w:hAnsi="Times New Roman" w:cs="Times New Roman"/>
          <w:sz w:val="18"/>
          <w:szCs w:val="18"/>
          <w:lang w:bidi="en-US"/>
        </w:rPr>
        <w:t xml:space="preserve"> day of February, 2018.</w:t>
      </w:r>
    </w:p>
    <w:p w:rsidR="00521366" w:rsidRPr="00521366" w:rsidRDefault="00521366" w:rsidP="00521366">
      <w:pPr>
        <w:autoSpaceDN w:val="0"/>
        <w:spacing w:after="0" w:line="240" w:lineRule="auto"/>
        <w:ind w:left="3060" w:hanging="3060"/>
        <w:jc w:val="center"/>
        <w:rPr>
          <w:rFonts w:ascii="Calibri" w:eastAsia="Times New Roman" w:hAnsi="Calibri" w:cs="Times New Roman"/>
          <w:sz w:val="18"/>
          <w:szCs w:val="18"/>
          <w:lang w:bidi="en-US"/>
        </w:rPr>
      </w:pPr>
    </w:p>
    <w:p w:rsidR="00521366" w:rsidRPr="00521366" w:rsidRDefault="00521366" w:rsidP="00521366">
      <w:pPr>
        <w:tabs>
          <w:tab w:val="left" w:pos="4500"/>
          <w:tab w:val="right" w:pos="9360"/>
        </w:tabs>
        <w:autoSpaceDN w:val="0"/>
        <w:spacing w:after="0" w:line="240" w:lineRule="auto"/>
        <w:rPr>
          <w:rFonts w:ascii="Times New Roman" w:eastAsia="Times New Roman" w:hAnsi="Times New Roman" w:cs="Times New Roman"/>
          <w:sz w:val="18"/>
          <w:szCs w:val="18"/>
          <w:lang w:bidi="en-US"/>
        </w:rPr>
      </w:pPr>
      <w:r w:rsidRPr="00521366">
        <w:rPr>
          <w:rFonts w:ascii="Times New Roman" w:eastAsia="Times New Roman" w:hAnsi="Times New Roman" w:cs="Times New Roman"/>
          <w:sz w:val="18"/>
          <w:szCs w:val="18"/>
          <w:lang w:bidi="en-US"/>
        </w:rPr>
        <w:tab/>
      </w:r>
      <w:r w:rsidRPr="00521366">
        <w:rPr>
          <w:rFonts w:ascii="Times New Roman" w:eastAsia="Times New Roman" w:hAnsi="Times New Roman" w:cs="Times New Roman"/>
          <w:sz w:val="18"/>
          <w:szCs w:val="18"/>
          <w:lang w:bidi="en-US"/>
        </w:rPr>
        <w:tab/>
      </w:r>
      <w:r w:rsidRPr="00521366">
        <w:rPr>
          <w:rFonts w:ascii="Times New Roman" w:eastAsia="Times New Roman" w:hAnsi="Times New Roman" w:cs="Times New Roman"/>
          <w:bCs/>
          <w:sz w:val="18"/>
          <w:szCs w:val="18"/>
          <w:lang w:bidi="en-US"/>
        </w:rPr>
        <w:t>LAWRENCE KESTENBAUM</w:t>
      </w:r>
      <w:r w:rsidRPr="00521366">
        <w:rPr>
          <w:rFonts w:ascii="Times New Roman" w:eastAsia="Times New Roman" w:hAnsi="Times New Roman" w:cs="Times New Roman"/>
          <w:sz w:val="18"/>
          <w:szCs w:val="18"/>
          <w:lang w:bidi="en-US"/>
        </w:rPr>
        <w:t>, Clerk/Register</w:t>
      </w:r>
    </w:p>
    <w:p w:rsidR="00521366" w:rsidRPr="00521366" w:rsidRDefault="00521366" w:rsidP="00521366">
      <w:pPr>
        <w:autoSpaceDN w:val="0"/>
        <w:spacing w:after="0" w:line="240" w:lineRule="auto"/>
        <w:jc w:val="right"/>
        <w:rPr>
          <w:rFonts w:ascii="Calibri" w:eastAsia="Calibri" w:hAnsi="Calibri" w:cs="Times New Roman"/>
          <w:sz w:val="18"/>
          <w:szCs w:val="18"/>
          <w:lang w:bidi="en-US"/>
        </w:rPr>
      </w:pPr>
    </w:p>
    <w:p w:rsidR="00521366" w:rsidRPr="00521366" w:rsidRDefault="00521366" w:rsidP="00521366">
      <w:pPr>
        <w:autoSpaceDN w:val="0"/>
        <w:spacing w:after="0" w:line="240" w:lineRule="auto"/>
        <w:jc w:val="right"/>
        <w:rPr>
          <w:rFonts w:ascii="Arial" w:eastAsia="Times New Roman" w:hAnsi="Arial" w:cs="Times New Roman"/>
          <w:sz w:val="18"/>
          <w:szCs w:val="18"/>
          <w:lang w:bidi="en-US"/>
        </w:rPr>
      </w:pPr>
      <w:r w:rsidRPr="00521366">
        <w:rPr>
          <w:rFonts w:ascii="Times New Roman" w:eastAsia="Times New Roman" w:hAnsi="Times New Roman" w:cs="Times New Roman"/>
          <w:sz w:val="18"/>
          <w:szCs w:val="18"/>
          <w:lang w:bidi="en-US"/>
        </w:rPr>
        <w:t>BY</w:t>
      </w:r>
      <w:proofErr w:type="gramStart"/>
      <w:r w:rsidRPr="00521366">
        <w:rPr>
          <w:rFonts w:ascii="Times New Roman" w:eastAsia="Times New Roman" w:hAnsi="Times New Roman" w:cs="Times New Roman"/>
          <w:sz w:val="18"/>
          <w:szCs w:val="18"/>
          <w:lang w:bidi="en-US"/>
        </w:rPr>
        <w:t>:_</w:t>
      </w:r>
      <w:proofErr w:type="gramEnd"/>
      <w:r w:rsidRPr="00521366">
        <w:rPr>
          <w:rFonts w:ascii="Times New Roman" w:eastAsia="Times New Roman" w:hAnsi="Times New Roman" w:cs="Times New Roman"/>
          <w:sz w:val="18"/>
          <w:szCs w:val="18"/>
          <w:lang w:bidi="en-US"/>
        </w:rPr>
        <w:t>_____________________________________</w:t>
      </w:r>
    </w:p>
    <w:p w:rsidR="00521366" w:rsidRPr="00521366" w:rsidRDefault="00521366" w:rsidP="00521366">
      <w:pPr>
        <w:tabs>
          <w:tab w:val="left" w:pos="7920"/>
        </w:tabs>
        <w:autoSpaceDN w:val="0"/>
        <w:spacing w:after="0" w:line="240" w:lineRule="auto"/>
        <w:jc w:val="right"/>
        <w:rPr>
          <w:rFonts w:ascii="Times New Roman" w:eastAsia="Calibri" w:hAnsi="Times New Roman" w:cs="Times New Roman"/>
          <w:sz w:val="18"/>
          <w:szCs w:val="18"/>
          <w:lang w:bidi="en-US"/>
        </w:rPr>
      </w:pPr>
      <w:r w:rsidRPr="00521366">
        <w:rPr>
          <w:rFonts w:ascii="Times New Roman" w:eastAsia="Times New Roman" w:hAnsi="Times New Roman" w:cs="Times New Roman"/>
          <w:sz w:val="18"/>
          <w:szCs w:val="18"/>
          <w:lang w:bidi="en-US"/>
        </w:rPr>
        <w:t>Deputy Clerk</w:t>
      </w:r>
    </w:p>
    <w:p w:rsidR="00521366" w:rsidRPr="00521366" w:rsidRDefault="00521366" w:rsidP="00521366">
      <w:pPr>
        <w:tabs>
          <w:tab w:val="left" w:pos="7920"/>
        </w:tabs>
        <w:autoSpaceDN w:val="0"/>
        <w:spacing w:after="0" w:line="240" w:lineRule="auto"/>
        <w:jc w:val="right"/>
        <w:rPr>
          <w:rFonts w:ascii="Calibri" w:eastAsia="Times New Roman" w:hAnsi="Calibri" w:cs="Times New Roman"/>
          <w:sz w:val="18"/>
          <w:szCs w:val="18"/>
          <w:lang w:bidi="en-US"/>
        </w:rPr>
      </w:pPr>
      <w:r w:rsidRPr="00521366">
        <w:rPr>
          <w:rFonts w:ascii="Times New Roman" w:eastAsia="Times New Roman" w:hAnsi="Times New Roman" w:cs="Times New Roman"/>
          <w:noProof/>
          <w:sz w:val="18"/>
          <w:szCs w:val="18"/>
        </w:rPr>
        <w:drawing>
          <wp:inline distT="0" distB="0" distL="0" distR="0">
            <wp:extent cx="381000" cy="33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18"/>
      </w:tblGrid>
      <w:tr w:rsidR="00521366" w:rsidRPr="00521366" w:rsidTr="00F87C1E">
        <w:tc>
          <w:tcPr>
            <w:tcW w:w="2718" w:type="dxa"/>
            <w:tcBorders>
              <w:top w:val="single" w:sz="6" w:space="0" w:color="000000"/>
              <w:left w:val="single" w:sz="6" w:space="0" w:color="000000"/>
              <w:bottom w:val="single" w:sz="6" w:space="0" w:color="000000"/>
              <w:right w:val="single" w:sz="6" w:space="0" w:color="000000"/>
            </w:tcBorders>
            <w:hideMark/>
          </w:tcPr>
          <w:p w:rsidR="00521366" w:rsidRPr="00521366" w:rsidRDefault="00521366" w:rsidP="00521366">
            <w:pPr>
              <w:widowControl w:val="0"/>
              <w:overflowPunct w:val="0"/>
              <w:autoSpaceDE w:val="0"/>
              <w:autoSpaceDN w:val="0"/>
              <w:adjustRightInd w:val="0"/>
              <w:spacing w:after="200" w:line="276" w:lineRule="auto"/>
              <w:rPr>
                <w:rFonts w:ascii="Arial" w:eastAsia="Times New Roman" w:hAnsi="Arial" w:cs="Arial"/>
                <w:bCs/>
                <w:color w:val="000000"/>
                <w:kern w:val="18"/>
                <w:sz w:val="18"/>
                <w:szCs w:val="18"/>
                <w:lang w:bidi="en-US"/>
              </w:rPr>
            </w:pPr>
            <w:r w:rsidRPr="00521366">
              <w:rPr>
                <w:rFonts w:ascii="Times New Roman" w:eastAsia="Times New Roman" w:hAnsi="Times New Roman" w:cs="Times New Roman"/>
                <w:bCs/>
                <w:sz w:val="18"/>
                <w:szCs w:val="18"/>
                <w:lang w:bidi="en-US"/>
              </w:rPr>
              <w:t>Res. No</w:t>
            </w:r>
            <w:r w:rsidRPr="00521366">
              <w:rPr>
                <w:rFonts w:ascii="Times New Roman" w:eastAsia="Times New Roman" w:hAnsi="Times New Roman" w:cs="Times New Roman"/>
                <w:sz w:val="18"/>
                <w:szCs w:val="18"/>
                <w:lang w:bidi="en-US"/>
              </w:rPr>
              <w:t xml:space="preserve">.   </w:t>
            </w:r>
            <w:r w:rsidRPr="00521366">
              <w:rPr>
                <w:rFonts w:ascii="Times New Roman" w:eastAsia="Times New Roman" w:hAnsi="Times New Roman" w:cs="Times New Roman"/>
                <w:bCs/>
                <w:sz w:val="18"/>
                <w:szCs w:val="18"/>
                <w:lang w:bidi="en-US"/>
              </w:rPr>
              <w:t>18-02</w:t>
            </w:r>
            <w:r w:rsidR="00025EF8">
              <w:rPr>
                <w:rFonts w:ascii="Times New Roman" w:eastAsia="Times New Roman" w:hAnsi="Times New Roman" w:cs="Times New Roman"/>
                <w:bCs/>
                <w:sz w:val="18"/>
                <w:szCs w:val="18"/>
                <w:lang w:bidi="en-US"/>
              </w:rPr>
              <w:t>5</w:t>
            </w:r>
          </w:p>
        </w:tc>
      </w:tr>
    </w:tbl>
    <w:p w:rsidR="00521366" w:rsidRDefault="00521366"/>
    <w:sectPr w:rsidR="00521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366"/>
    <w:rsid w:val="00025EF8"/>
    <w:rsid w:val="002D2017"/>
    <w:rsid w:val="00521366"/>
    <w:rsid w:val="007A7318"/>
    <w:rsid w:val="00D6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36DB4DD-5623-45A6-8495-9A580CBB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Washtenaw County</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Peart</dc:creator>
  <cp:keywords/>
  <dc:description/>
  <cp:lastModifiedBy>Edwin Peart</cp:lastModifiedBy>
  <cp:revision>2</cp:revision>
  <dcterms:created xsi:type="dcterms:W3CDTF">2018-02-16T16:33:00Z</dcterms:created>
  <dcterms:modified xsi:type="dcterms:W3CDTF">2018-02-16T17:29:00Z</dcterms:modified>
</cp:coreProperties>
</file>